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253</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55.6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 / 10</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 / 18.5 / 16.75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2 cành chính, cả 2 cành đều sinh trưởng kém, trong đó cành số 1 có hiện tượng khô mục.</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br/>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