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15.6 / 18 / 16.8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 / 2</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04 cành chính, trong đó 03 cành sinh trưởng tốt, 01 cành khô, mục</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br/>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