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17</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618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132.2</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27.5 / 1.6</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13.8 / 15.1 / 14.45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02 cành chính trong đó 01 cành sinh trưởng tốt, 01 cành sinh trưởng kém</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Cần cắt tỉa cành khô. Tuy nhiên, để đảm bảo tính thẩm mỹ và nhanh liền sẹo tại vết cắt cành khô cần được cắt đúng kỹ thuật. Sau khi cắt cành, tiến hành bôi keo liền sẹo để bảo vệ vết cắt, ngăn ngừa vi khuẩn, rong rêu, nấm mốc, tăng cường sự phát triển của vỏ.
- Bổ sung đất màu mới trộn lẫn mùn. 
- Bổ sung dinh dưỡng cho cây bằng cách sử dụng phân bón hữu cơ vi sinh và phân tổng hợp theo các cách:
+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
+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14392803598px">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